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BA0FF2" w:rsidRDefault="004512CE" w:rsidP="00BA0FF2">
      <w:pPr>
        <w:ind w:left="-540" w:right="183"/>
        <w:jc w:val="right"/>
        <w:rPr>
          <w:rFonts w:ascii="Arial" w:hAnsi="Arial" w:cs="Arial"/>
          <w:b/>
          <w:bCs/>
          <w:color w:val="365F91" w:themeColor="accent1" w:themeShade="BF"/>
          <w:sz w:val="20"/>
          <w:szCs w:val="20"/>
        </w:rPr>
      </w:pPr>
      <w:r w:rsidRPr="00BA0FF2">
        <w:rPr>
          <w:rFonts w:ascii="Arial" w:hAnsi="Arial" w:cs="Arial"/>
          <w:b/>
          <w:bCs/>
          <w:color w:val="365F91" w:themeColor="accent1" w:themeShade="BF"/>
          <w:sz w:val="20"/>
          <w:szCs w:val="20"/>
        </w:rPr>
        <w:t xml:space="preserve">Ref: </w:t>
      </w:r>
      <w:r w:rsidR="00AB13D0">
        <w:rPr>
          <w:rFonts w:ascii="Arial" w:hAnsi="Arial" w:cs="Arial"/>
          <w:b/>
          <w:bCs/>
          <w:color w:val="365F91" w:themeColor="accent1" w:themeShade="BF"/>
          <w:sz w:val="20"/>
          <w:szCs w:val="20"/>
        </w:rPr>
        <w:t>GJF/2018/03/12</w:t>
      </w:r>
    </w:p>
    <w:p w:rsidR="00513DB0" w:rsidRDefault="00513DB0" w:rsidP="00BA0FF2">
      <w:pPr>
        <w:pStyle w:val="Heading1"/>
        <w:ind w:left="-540" w:right="183"/>
        <w:rPr>
          <w:rFonts w:ascii="Arial" w:hAnsi="Arial" w:cs="Arial"/>
          <w:sz w:val="24"/>
          <w:szCs w:val="24"/>
        </w:rPr>
      </w:pPr>
    </w:p>
    <w:p w:rsidR="001175E5" w:rsidRPr="00682309" w:rsidRDefault="00BA0FF2" w:rsidP="008C09FA">
      <w:pPr>
        <w:pStyle w:val="Heading1"/>
        <w:ind w:left="-540" w:right="183"/>
        <w:rPr>
          <w:rFonts w:ascii="Arial" w:hAnsi="Arial" w:cs="Arial"/>
        </w:rPr>
      </w:pPr>
      <w:r>
        <w:rPr>
          <w:rFonts w:ascii="Arial" w:hAnsi="Arial" w:cs="Arial"/>
          <w:noProof/>
          <w:sz w:val="24"/>
          <w:szCs w:val="24"/>
          <w:lang w:eastAsia="en-GB"/>
        </w:rPr>
        <w:drawing>
          <wp:anchor distT="0" distB="0" distL="114300" distR="114300" simplePos="0" relativeHeight="251657728" behindDoc="0" locked="0" layoutInCell="1" allowOverlap="1">
            <wp:simplePos x="0" y="0"/>
            <wp:positionH relativeFrom="column">
              <wp:posOffset>4764405</wp:posOffset>
            </wp:positionH>
            <wp:positionV relativeFrom="paragraph">
              <wp:posOffset>38100</wp:posOffset>
            </wp:positionV>
            <wp:extent cx="1123950" cy="112395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sidR="008C09FA">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sidR="00882F92">
        <w:rPr>
          <w:rFonts w:ascii="Arial" w:hAnsi="Arial" w:cs="Arial"/>
          <w:b w:val="0"/>
          <w:sz w:val="24"/>
          <w:szCs w:val="24"/>
        </w:rPr>
        <w:tab/>
      </w:r>
      <w:r w:rsidR="008C09FA">
        <w:rPr>
          <w:rFonts w:ascii="Arial" w:hAnsi="Arial" w:cs="Arial"/>
          <w:b w:val="0"/>
          <w:sz w:val="24"/>
          <w:szCs w:val="24"/>
        </w:rPr>
        <w:t>29 March 2018</w:t>
      </w:r>
    </w:p>
    <w:p w:rsidR="00AB13D0" w:rsidRDefault="00AB13D0" w:rsidP="00BA0FF2">
      <w:pPr>
        <w:ind w:left="-540" w:right="183"/>
        <w:rPr>
          <w:rFonts w:ascii="Arial" w:hAnsi="Arial" w:cs="Arial"/>
          <w:b/>
          <w:bCs/>
        </w:rPr>
      </w:pPr>
    </w:p>
    <w:p w:rsidR="00A2577B" w:rsidRPr="00AB13D0" w:rsidRDefault="00A2577B" w:rsidP="00BA0FF2">
      <w:pPr>
        <w:ind w:left="-540"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44901" w:rsidRPr="00AB13D0">
        <w:rPr>
          <w:rFonts w:ascii="Arial" w:hAnsi="Arial" w:cs="Arial"/>
          <w:bCs/>
        </w:rPr>
        <w:t xml:space="preserve">Risk Appetite Statement </w:t>
      </w:r>
    </w:p>
    <w:p w:rsidR="00A2577B" w:rsidRPr="00682309" w:rsidRDefault="00A2577B" w:rsidP="00BA0FF2">
      <w:pPr>
        <w:ind w:left="-540" w:right="183"/>
        <w:rPr>
          <w:rFonts w:ascii="Arial" w:hAnsi="Arial" w:cs="Arial"/>
          <w:b/>
          <w:bCs/>
        </w:rPr>
      </w:pPr>
      <w:r w:rsidRPr="00682309">
        <w:rPr>
          <w:rFonts w:ascii="Arial" w:hAnsi="Arial" w:cs="Arial"/>
          <w:b/>
          <w:bCs/>
        </w:rPr>
        <w:tab/>
      </w:r>
    </w:p>
    <w:p w:rsidR="00EC2E57" w:rsidRDefault="00A2577B" w:rsidP="00BA0FF2">
      <w:pPr>
        <w:ind w:left="2127" w:hanging="2694"/>
        <w:rPr>
          <w:rFonts w:ascii="Arial" w:hAnsi="Arial" w:cs="Arial"/>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8D3CB5">
        <w:rPr>
          <w:rFonts w:ascii="Arial" w:hAnsi="Arial" w:cs="Arial"/>
        </w:rPr>
        <w:t>approve</w:t>
      </w:r>
      <w:r w:rsidR="00EC2E57">
        <w:rPr>
          <w:rFonts w:ascii="Arial" w:hAnsi="Arial" w:cs="Arial"/>
        </w:rPr>
        <w:t xml:space="preserve"> the </w:t>
      </w:r>
      <w:r w:rsidR="00F44901">
        <w:rPr>
          <w:rFonts w:ascii="Arial" w:hAnsi="Arial" w:cs="Arial"/>
        </w:rPr>
        <w:t xml:space="preserve">revised Risk Appetite Statement </w:t>
      </w:r>
    </w:p>
    <w:p w:rsidR="00AB13D0" w:rsidRDefault="00E95856" w:rsidP="00AB13D0">
      <w:pPr>
        <w:ind w:right="18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C05D2" w:rsidRPr="00682309" w:rsidRDefault="001C05D2" w:rsidP="00BA0FF2">
      <w:pPr>
        <w:pBdr>
          <w:bottom w:val="single" w:sz="12" w:space="1" w:color="auto"/>
        </w:pBdr>
        <w:ind w:left="-540" w:right="183"/>
        <w:rPr>
          <w:rFonts w:ascii="Arial" w:hAnsi="Arial" w:cs="Arial"/>
        </w:rPr>
      </w:pPr>
    </w:p>
    <w:p w:rsidR="00A2577B" w:rsidRPr="00682309" w:rsidRDefault="00A2577B" w:rsidP="001C05D2">
      <w:pPr>
        <w:ind w:right="183"/>
        <w:rPr>
          <w:rFonts w:ascii="Arial" w:hAnsi="Arial" w:cs="Arial"/>
          <w:b/>
          <w:bCs/>
        </w:rPr>
      </w:pPr>
    </w:p>
    <w:p w:rsidR="00EC2E57" w:rsidRDefault="00EC2E57" w:rsidP="00BA0FF2">
      <w:pPr>
        <w:pStyle w:val="Heading2"/>
        <w:ind w:left="-540" w:right="183"/>
        <w:rPr>
          <w:i w:val="0"/>
          <w:sz w:val="24"/>
          <w:szCs w:val="24"/>
        </w:rPr>
      </w:pPr>
      <w:r w:rsidRPr="001175E5">
        <w:rPr>
          <w:i w:val="0"/>
          <w:sz w:val="24"/>
          <w:szCs w:val="24"/>
        </w:rPr>
        <w:t>1</w:t>
      </w:r>
      <w:r w:rsidRPr="001175E5">
        <w:rPr>
          <w:i w:val="0"/>
          <w:sz w:val="24"/>
          <w:szCs w:val="24"/>
        </w:rPr>
        <w:tab/>
        <w:t>Background</w:t>
      </w:r>
    </w:p>
    <w:p w:rsidR="00993AEC" w:rsidRDefault="00993AEC" w:rsidP="00F44901">
      <w:pPr>
        <w:rPr>
          <w:rFonts w:ascii="Arial" w:hAnsi="Arial" w:cs="Arial"/>
        </w:rPr>
      </w:pPr>
    </w:p>
    <w:p w:rsidR="00F44901" w:rsidRPr="00993AEC" w:rsidRDefault="00F44901" w:rsidP="00F44901">
      <w:pPr>
        <w:rPr>
          <w:rFonts w:ascii="Arial" w:hAnsi="Arial" w:cs="Arial"/>
        </w:rPr>
      </w:pPr>
      <w:r w:rsidRPr="00993AEC">
        <w:rPr>
          <w:rFonts w:ascii="Arial" w:hAnsi="Arial" w:cs="Arial"/>
        </w:rPr>
        <w:t xml:space="preserve">This paper presents </w:t>
      </w:r>
      <w:r w:rsidR="00993AEC">
        <w:rPr>
          <w:rFonts w:ascii="Arial" w:hAnsi="Arial" w:cs="Arial"/>
        </w:rPr>
        <w:t>Board</w:t>
      </w:r>
      <w:r w:rsidRPr="00993AEC">
        <w:rPr>
          <w:rFonts w:ascii="Arial" w:hAnsi="Arial" w:cs="Arial"/>
        </w:rPr>
        <w:t xml:space="preserve"> members with a revised Risk Appetite statement.  This forms a key part of the Enterprise Risk Management (ERM) development within the Board.  </w:t>
      </w:r>
    </w:p>
    <w:p w:rsidR="00F44901" w:rsidRPr="00993AEC" w:rsidRDefault="00F44901" w:rsidP="00F44901">
      <w:pPr>
        <w:rPr>
          <w:rFonts w:ascii="Arial" w:hAnsi="Arial" w:cs="Arial"/>
        </w:rPr>
      </w:pPr>
    </w:p>
    <w:p w:rsidR="00AB13D0" w:rsidRDefault="00F44901" w:rsidP="00F44901">
      <w:pPr>
        <w:rPr>
          <w:rFonts w:ascii="Arial" w:hAnsi="Arial" w:cs="Arial"/>
        </w:rPr>
      </w:pPr>
      <w:r w:rsidRPr="00993AEC">
        <w:rPr>
          <w:rFonts w:ascii="Arial" w:hAnsi="Arial" w:cs="Arial"/>
        </w:rPr>
        <w:t xml:space="preserve">The statement was developed via a Board workshop in December 2017 and has been </w:t>
      </w:r>
      <w:r w:rsidR="00993AEC">
        <w:rPr>
          <w:rFonts w:ascii="Arial" w:hAnsi="Arial" w:cs="Arial"/>
        </w:rPr>
        <w:t>reviewed and approved</w:t>
      </w:r>
      <w:r w:rsidR="00993AEC" w:rsidRPr="00993AEC">
        <w:rPr>
          <w:rFonts w:ascii="Arial" w:hAnsi="Arial" w:cs="Arial"/>
        </w:rPr>
        <w:t xml:space="preserve"> </w:t>
      </w:r>
      <w:r w:rsidRPr="00993AEC">
        <w:rPr>
          <w:rFonts w:ascii="Arial" w:hAnsi="Arial" w:cs="Arial"/>
        </w:rPr>
        <w:t xml:space="preserve">by the Audit </w:t>
      </w:r>
      <w:r w:rsidR="00AB13D0">
        <w:rPr>
          <w:rFonts w:ascii="Arial" w:hAnsi="Arial" w:cs="Arial"/>
        </w:rPr>
        <w:t>and</w:t>
      </w:r>
      <w:r w:rsidRPr="00993AEC">
        <w:rPr>
          <w:rFonts w:ascii="Arial" w:hAnsi="Arial" w:cs="Arial"/>
        </w:rPr>
        <w:t xml:space="preserve"> Risk Committee in February 2018</w:t>
      </w:r>
      <w:r w:rsidR="00AB13D0">
        <w:rPr>
          <w:rFonts w:ascii="Arial" w:hAnsi="Arial" w:cs="Arial"/>
        </w:rPr>
        <w:t>.</w:t>
      </w:r>
    </w:p>
    <w:p w:rsidR="00F44901" w:rsidRPr="00993AEC" w:rsidRDefault="00AB13D0" w:rsidP="00F44901">
      <w:pPr>
        <w:rPr>
          <w:rFonts w:ascii="Arial" w:hAnsi="Arial" w:cs="Arial"/>
        </w:rPr>
      </w:pPr>
      <w:r w:rsidRPr="00993AEC">
        <w:rPr>
          <w:rFonts w:ascii="Arial" w:hAnsi="Arial" w:cs="Arial"/>
        </w:rPr>
        <w:t xml:space="preserve"> </w:t>
      </w:r>
    </w:p>
    <w:p w:rsidR="00AB13D0" w:rsidRDefault="00993AEC" w:rsidP="00F44901">
      <w:pPr>
        <w:rPr>
          <w:rFonts w:ascii="Arial" w:hAnsi="Arial" w:cs="Arial"/>
        </w:rPr>
      </w:pPr>
      <w:r>
        <w:rPr>
          <w:rFonts w:ascii="Arial" w:hAnsi="Arial" w:cs="Arial"/>
        </w:rPr>
        <w:t>As members will recall from the workshop</w:t>
      </w:r>
      <w:r w:rsidR="00AB13D0">
        <w:rPr>
          <w:rFonts w:ascii="Arial" w:hAnsi="Arial" w:cs="Arial"/>
        </w:rPr>
        <w:t>,</w:t>
      </w:r>
      <w:r>
        <w:rPr>
          <w:rFonts w:ascii="Arial" w:hAnsi="Arial" w:cs="Arial"/>
        </w:rPr>
        <w:t xml:space="preserve"> t</w:t>
      </w:r>
      <w:r w:rsidR="00F44901" w:rsidRPr="00993AEC">
        <w:rPr>
          <w:rFonts w:ascii="Arial" w:hAnsi="Arial" w:cs="Arial"/>
        </w:rPr>
        <w:t xml:space="preserve">he approach to the risk appetite has been developed to align to the Board </w:t>
      </w:r>
      <w:r w:rsidR="00AB13D0">
        <w:rPr>
          <w:rFonts w:ascii="Arial" w:hAnsi="Arial" w:cs="Arial"/>
        </w:rPr>
        <w:t>R</w:t>
      </w:r>
      <w:r w:rsidR="00F44901" w:rsidRPr="00993AEC">
        <w:rPr>
          <w:rFonts w:ascii="Arial" w:hAnsi="Arial" w:cs="Arial"/>
        </w:rPr>
        <w:t xml:space="preserve">isk </w:t>
      </w:r>
      <w:r w:rsidR="00AB13D0">
        <w:rPr>
          <w:rFonts w:ascii="Arial" w:hAnsi="Arial" w:cs="Arial"/>
        </w:rPr>
        <w:t>R</w:t>
      </w:r>
      <w:r w:rsidR="00F44901" w:rsidRPr="00993AEC">
        <w:rPr>
          <w:rFonts w:ascii="Arial" w:hAnsi="Arial" w:cs="Arial"/>
        </w:rPr>
        <w:t xml:space="preserve">egister with appetite considered for the </w:t>
      </w:r>
      <w:r w:rsidR="00AB13D0">
        <w:rPr>
          <w:rFonts w:ascii="Arial" w:hAnsi="Arial" w:cs="Arial"/>
        </w:rPr>
        <w:t>four</w:t>
      </w:r>
      <w:r w:rsidR="00F44901" w:rsidRPr="00993AEC">
        <w:rPr>
          <w:rFonts w:ascii="Arial" w:hAnsi="Arial" w:cs="Arial"/>
        </w:rPr>
        <w:t xml:space="preserve"> pillars across the risk cluster scoring on a scale of </w:t>
      </w:r>
      <w:r w:rsidR="00AB13D0">
        <w:rPr>
          <w:rFonts w:ascii="Arial" w:hAnsi="Arial" w:cs="Arial"/>
        </w:rPr>
        <w:t>one to five</w:t>
      </w:r>
      <w:r w:rsidR="00F44901" w:rsidRPr="00993AEC">
        <w:rPr>
          <w:rFonts w:ascii="Arial" w:hAnsi="Arial" w:cs="Arial"/>
        </w:rPr>
        <w:t xml:space="preserve">.  </w:t>
      </w:r>
    </w:p>
    <w:p w:rsidR="00AB13D0" w:rsidRDefault="00AB13D0" w:rsidP="00F44901">
      <w:pPr>
        <w:rPr>
          <w:rFonts w:ascii="Arial" w:hAnsi="Arial" w:cs="Arial"/>
        </w:rPr>
      </w:pPr>
    </w:p>
    <w:p w:rsidR="00993AEC" w:rsidRDefault="00F44901" w:rsidP="00F44901">
      <w:pPr>
        <w:rPr>
          <w:rFonts w:ascii="Arial" w:hAnsi="Arial" w:cs="Arial"/>
        </w:rPr>
      </w:pPr>
      <w:r w:rsidRPr="00993AEC">
        <w:rPr>
          <w:rFonts w:ascii="Arial" w:hAnsi="Arial" w:cs="Arial"/>
        </w:rPr>
        <w:t>All Board members were invited to undertake a scoring exercise prior to the workshop, this was collated and results presented at the workshop with clusters then assigned to groups for in depth discussion on the appropriate level</w:t>
      </w:r>
      <w:r w:rsidR="00993AEC">
        <w:rPr>
          <w:rFonts w:ascii="Arial" w:hAnsi="Arial" w:cs="Arial"/>
        </w:rPr>
        <w:t xml:space="preserve"> and reasons why this level was agreed. </w:t>
      </w:r>
      <w:r w:rsidR="00AB13D0">
        <w:rPr>
          <w:rFonts w:ascii="Arial" w:hAnsi="Arial" w:cs="Arial"/>
        </w:rPr>
        <w:t xml:space="preserve"> </w:t>
      </w:r>
      <w:r w:rsidRPr="00993AEC">
        <w:rPr>
          <w:rFonts w:ascii="Arial" w:hAnsi="Arial" w:cs="Arial"/>
        </w:rPr>
        <w:t xml:space="preserve">The narrative has </w:t>
      </w:r>
      <w:r w:rsidR="00993AEC">
        <w:rPr>
          <w:rFonts w:ascii="Arial" w:hAnsi="Arial" w:cs="Arial"/>
        </w:rPr>
        <w:t xml:space="preserve">then </w:t>
      </w:r>
      <w:r w:rsidRPr="00993AEC">
        <w:rPr>
          <w:rFonts w:ascii="Arial" w:hAnsi="Arial" w:cs="Arial"/>
        </w:rPr>
        <w:t>been used to develop the supporting statement and both are appended</w:t>
      </w:r>
      <w:r w:rsidR="00993AEC">
        <w:rPr>
          <w:rFonts w:ascii="Arial" w:hAnsi="Arial" w:cs="Arial"/>
        </w:rPr>
        <w:t xml:space="preserve"> to the paper</w:t>
      </w:r>
      <w:r w:rsidRPr="00993AEC">
        <w:rPr>
          <w:rFonts w:ascii="Arial" w:hAnsi="Arial" w:cs="Arial"/>
        </w:rPr>
        <w:t>.</w:t>
      </w:r>
    </w:p>
    <w:p w:rsidR="00993AEC" w:rsidRDefault="00993AEC" w:rsidP="00F44901">
      <w:pPr>
        <w:rPr>
          <w:rFonts w:ascii="Arial" w:hAnsi="Arial" w:cs="Arial"/>
        </w:rPr>
      </w:pPr>
    </w:p>
    <w:p w:rsidR="00993AEC" w:rsidRDefault="00993AEC" w:rsidP="00F44901">
      <w:pPr>
        <w:rPr>
          <w:rFonts w:ascii="Arial" w:hAnsi="Arial" w:cs="Arial"/>
        </w:rPr>
      </w:pPr>
      <w:r>
        <w:rPr>
          <w:rFonts w:ascii="Arial" w:hAnsi="Arial" w:cs="Arial"/>
        </w:rPr>
        <w:t>The Audit and Risk Committee</w:t>
      </w:r>
      <w:r w:rsidR="00AB13D0">
        <w:rPr>
          <w:rFonts w:ascii="Arial" w:hAnsi="Arial" w:cs="Arial"/>
        </w:rPr>
        <w:t>,</w:t>
      </w:r>
      <w:r>
        <w:rPr>
          <w:rFonts w:ascii="Arial" w:hAnsi="Arial" w:cs="Arial"/>
        </w:rPr>
        <w:t xml:space="preserve"> when reviewing this</w:t>
      </w:r>
      <w:r w:rsidR="00AB13D0">
        <w:rPr>
          <w:rFonts w:ascii="Arial" w:hAnsi="Arial" w:cs="Arial"/>
        </w:rPr>
        <w:t>,</w:t>
      </w:r>
      <w:r>
        <w:rPr>
          <w:rFonts w:ascii="Arial" w:hAnsi="Arial" w:cs="Arial"/>
        </w:rPr>
        <w:t xml:space="preserve"> noted that this was completed at a point in time and would very much be a moving position.</w:t>
      </w:r>
    </w:p>
    <w:p w:rsidR="00993AEC" w:rsidRDefault="00993AEC" w:rsidP="00F44901">
      <w:pPr>
        <w:rPr>
          <w:rFonts w:ascii="Arial" w:hAnsi="Arial" w:cs="Arial"/>
        </w:rPr>
      </w:pPr>
    </w:p>
    <w:p w:rsidR="00F44901" w:rsidRPr="00993AEC" w:rsidRDefault="00993AEC" w:rsidP="00F44901">
      <w:pPr>
        <w:rPr>
          <w:rFonts w:ascii="Arial" w:hAnsi="Arial" w:cs="Arial"/>
        </w:rPr>
      </w:pPr>
      <w:r>
        <w:rPr>
          <w:rFonts w:ascii="Arial" w:hAnsi="Arial" w:cs="Arial"/>
        </w:rPr>
        <w:t xml:space="preserve">The next stage is to consider how we develop tolerances to support this and this work is being considered by the Strategic Risk Committee. </w:t>
      </w:r>
      <w:r w:rsidR="00F44901" w:rsidRPr="00993AEC">
        <w:rPr>
          <w:rFonts w:ascii="Arial" w:hAnsi="Arial" w:cs="Arial"/>
        </w:rPr>
        <w:t xml:space="preserve"> </w:t>
      </w:r>
    </w:p>
    <w:p w:rsidR="00EC2E57" w:rsidRPr="00993AEC" w:rsidRDefault="00EC2E57" w:rsidP="00BA0FF2">
      <w:pPr>
        <w:outlineLvl w:val="0"/>
        <w:rPr>
          <w:rFonts w:ascii="Arial" w:hAnsi="Arial" w:cs="Arial"/>
          <w:bCs/>
        </w:rPr>
      </w:pPr>
    </w:p>
    <w:p w:rsidR="00EC2E57" w:rsidRPr="00993AEC" w:rsidRDefault="00EC2E57" w:rsidP="00BA0FF2">
      <w:pPr>
        <w:ind w:hanging="567"/>
        <w:outlineLvl w:val="0"/>
        <w:rPr>
          <w:rFonts w:ascii="Arial" w:hAnsi="Arial" w:cs="Arial"/>
          <w:bCs/>
        </w:rPr>
      </w:pPr>
      <w:r w:rsidRPr="00993AEC">
        <w:rPr>
          <w:rFonts w:ascii="Arial" w:hAnsi="Arial" w:cs="Arial"/>
          <w:b/>
        </w:rPr>
        <w:t>2</w:t>
      </w:r>
      <w:r w:rsidRPr="00993AEC">
        <w:rPr>
          <w:rFonts w:ascii="Arial" w:hAnsi="Arial" w:cs="Arial"/>
          <w:b/>
        </w:rPr>
        <w:tab/>
        <w:t>Recommendation</w:t>
      </w:r>
    </w:p>
    <w:p w:rsidR="00EC2E57" w:rsidRPr="00993AEC" w:rsidRDefault="00EC2E57" w:rsidP="00BA0FF2">
      <w:pPr>
        <w:rPr>
          <w:rFonts w:ascii="Arial" w:hAnsi="Arial" w:cs="Arial"/>
        </w:rPr>
      </w:pPr>
    </w:p>
    <w:p w:rsidR="00EC2E57" w:rsidRPr="00993AEC" w:rsidRDefault="00136AC8" w:rsidP="00BA0FF2">
      <w:pPr>
        <w:rPr>
          <w:rStyle w:val="A1"/>
          <w:rFonts w:ascii="Arial" w:hAnsi="Arial" w:cs="Arial"/>
          <w:bCs/>
          <w:sz w:val="24"/>
          <w:szCs w:val="24"/>
        </w:rPr>
      </w:pPr>
      <w:r w:rsidRPr="00993AEC">
        <w:rPr>
          <w:rStyle w:val="A1"/>
          <w:rFonts w:ascii="Arial" w:hAnsi="Arial" w:cs="Arial"/>
          <w:bCs/>
          <w:sz w:val="24"/>
          <w:szCs w:val="24"/>
        </w:rPr>
        <w:t>The Board</w:t>
      </w:r>
      <w:r w:rsidR="008D3CB5" w:rsidRPr="00993AEC">
        <w:rPr>
          <w:rStyle w:val="A1"/>
          <w:rFonts w:ascii="Arial" w:hAnsi="Arial" w:cs="Arial"/>
          <w:bCs/>
          <w:sz w:val="24"/>
          <w:szCs w:val="24"/>
        </w:rPr>
        <w:t xml:space="preserve"> are asked to approve</w:t>
      </w:r>
      <w:r w:rsidR="00EC2E57" w:rsidRPr="00993AEC">
        <w:rPr>
          <w:rStyle w:val="A1"/>
          <w:rFonts w:ascii="Arial" w:hAnsi="Arial" w:cs="Arial"/>
          <w:bCs/>
          <w:sz w:val="24"/>
          <w:szCs w:val="24"/>
        </w:rPr>
        <w:t xml:space="preserve"> the </w:t>
      </w:r>
      <w:r w:rsidR="00F44901" w:rsidRPr="00993AEC">
        <w:rPr>
          <w:rStyle w:val="A1"/>
          <w:rFonts w:ascii="Arial" w:hAnsi="Arial" w:cs="Arial"/>
          <w:bCs/>
          <w:sz w:val="24"/>
          <w:szCs w:val="24"/>
        </w:rPr>
        <w:t xml:space="preserve">revised Risk Appetite Statement </w:t>
      </w:r>
    </w:p>
    <w:p w:rsidR="001C05D2" w:rsidRDefault="001C05D2" w:rsidP="00BA0FF2">
      <w:pPr>
        <w:rPr>
          <w:rStyle w:val="A1"/>
          <w:rFonts w:ascii="Arial" w:hAnsi="Arial" w:cs="Arial"/>
          <w:bCs/>
          <w:sz w:val="24"/>
          <w:szCs w:val="24"/>
        </w:rPr>
      </w:pPr>
    </w:p>
    <w:p w:rsidR="00EC2E57" w:rsidRPr="00DE1E1F" w:rsidRDefault="00EC2E57" w:rsidP="00BA0FF2">
      <w:pPr>
        <w:rPr>
          <w:rStyle w:val="A1"/>
        </w:rPr>
      </w:pPr>
    </w:p>
    <w:p w:rsidR="00EC2E57" w:rsidRPr="00453246" w:rsidRDefault="00F44901" w:rsidP="00BA0FF2">
      <w:pPr>
        <w:rPr>
          <w:rFonts w:ascii="Arial" w:hAnsi="Arial" w:cs="Arial"/>
          <w:b/>
          <w:bCs/>
        </w:rPr>
      </w:pPr>
      <w:r>
        <w:rPr>
          <w:rFonts w:ascii="Arial" w:hAnsi="Arial" w:cs="Arial"/>
          <w:b/>
          <w:bCs/>
        </w:rPr>
        <w:t xml:space="preserve">Julie Carter </w:t>
      </w:r>
    </w:p>
    <w:p w:rsidR="00EC2E57" w:rsidRDefault="00F44901" w:rsidP="00BA0FF2">
      <w:pPr>
        <w:rPr>
          <w:rFonts w:ascii="Arial" w:hAnsi="Arial" w:cs="Arial"/>
          <w:b/>
          <w:bCs/>
        </w:rPr>
      </w:pPr>
      <w:r>
        <w:rPr>
          <w:rFonts w:ascii="Arial" w:hAnsi="Arial" w:cs="Arial"/>
          <w:b/>
          <w:bCs/>
        </w:rPr>
        <w:t xml:space="preserve">Director of Finance </w:t>
      </w:r>
    </w:p>
    <w:p w:rsidR="00EC2E57" w:rsidRPr="00453246" w:rsidRDefault="00F44901" w:rsidP="00BA0FF2">
      <w:pPr>
        <w:rPr>
          <w:rFonts w:ascii="Arial" w:hAnsi="Arial" w:cs="Arial"/>
          <w:b/>
          <w:bCs/>
        </w:rPr>
      </w:pPr>
      <w:r>
        <w:rPr>
          <w:rFonts w:ascii="Arial" w:hAnsi="Arial" w:cs="Arial"/>
          <w:b/>
          <w:bCs/>
        </w:rPr>
        <w:t xml:space="preserve">16 March 2018 </w:t>
      </w:r>
    </w:p>
    <w:p w:rsidR="00EC2E57" w:rsidRPr="007F009F" w:rsidRDefault="00EC2E57" w:rsidP="00BA0FF2">
      <w:pPr>
        <w:rPr>
          <w:rStyle w:val="A1"/>
          <w:rFonts w:ascii="Arial" w:hAnsi="Arial" w:cs="Arial"/>
        </w:rPr>
      </w:pPr>
    </w:p>
    <w:p w:rsidR="00EC2E57" w:rsidRPr="00AB13D0" w:rsidRDefault="001C05D2" w:rsidP="00BA0FF2">
      <w:pPr>
        <w:rPr>
          <w:rFonts w:ascii="Arial" w:hAnsi="Arial" w:cs="Arial"/>
          <w:b/>
          <w:bCs/>
        </w:rPr>
      </w:pPr>
      <w:r w:rsidRPr="00AB13D0">
        <w:rPr>
          <w:rFonts w:ascii="Arial" w:hAnsi="Arial" w:cs="Arial"/>
          <w:b/>
          <w:bCs/>
        </w:rPr>
        <w:t>(</w:t>
      </w:r>
      <w:r w:rsidR="00F44901" w:rsidRPr="00AB13D0">
        <w:rPr>
          <w:rFonts w:ascii="Arial" w:hAnsi="Arial" w:cs="Arial"/>
          <w:b/>
          <w:bCs/>
        </w:rPr>
        <w:t>Laura Langan Riach, Chief Risk Officer</w:t>
      </w:r>
      <w:r w:rsidR="00EC2E57" w:rsidRPr="00AB13D0">
        <w:rPr>
          <w:rFonts w:ascii="Arial" w:hAnsi="Arial" w:cs="Arial"/>
          <w:b/>
          <w:bCs/>
        </w:rPr>
        <w:t>)</w:t>
      </w:r>
    </w:p>
    <w:p w:rsidR="006D232B" w:rsidRPr="006D232B" w:rsidRDefault="006D232B" w:rsidP="00BA0FF2">
      <w:pPr>
        <w:pStyle w:val="Body"/>
        <w:pBdr>
          <w:top w:val="none" w:sz="0" w:space="0" w:color="auto"/>
          <w:left w:val="none" w:sz="0" w:space="0" w:color="auto"/>
          <w:bottom w:val="none" w:sz="0" w:space="0" w:color="auto"/>
          <w:right w:val="none" w:sz="0" w:space="0" w:color="auto"/>
          <w:bar w:val="none" w:sz="0" w:color="auto"/>
        </w:pBdr>
        <w:rPr>
          <w:rFonts w:hAnsi="Arial" w:cs="Arial"/>
          <w:lang w:val="en-US"/>
        </w:rPr>
      </w:pPr>
    </w:p>
    <w:p w:rsidR="006D232B" w:rsidRDefault="006D232B" w:rsidP="00BA0FF2">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360"/>
        <w:rPr>
          <w:rFonts w:eastAsia="Times New Roman" w:hAnsi="Arial" w:cs="Arial"/>
          <w:b/>
          <w:color w:val="auto"/>
          <w:u w:val="single"/>
          <w:lang w:eastAsia="en-US"/>
        </w:rPr>
      </w:pPr>
    </w:p>
    <w:p w:rsidR="00AB13D0" w:rsidRDefault="00AB13D0">
      <w:pPr>
        <w:rPr>
          <w:rFonts w:ascii="Arial" w:hAnsi="Arial" w:cs="Arial"/>
          <w:sz w:val="22"/>
          <w:szCs w:val="22"/>
        </w:rPr>
      </w:pPr>
      <w:r>
        <w:rPr>
          <w:rFonts w:ascii="Arial" w:hAnsi="Arial" w:cs="Arial"/>
          <w:sz w:val="22"/>
          <w:szCs w:val="22"/>
        </w:rPr>
        <w:br w:type="page"/>
      </w:r>
    </w:p>
    <w:p w:rsidR="00AB13D0" w:rsidRPr="00AB13D0" w:rsidRDefault="00AB13D0" w:rsidP="00F44901">
      <w:pPr>
        <w:rPr>
          <w:rFonts w:ascii="Arial" w:hAnsi="Arial" w:cs="Arial"/>
          <w:b/>
        </w:rPr>
      </w:pPr>
      <w:r w:rsidRPr="00AB13D0">
        <w:rPr>
          <w:rFonts w:ascii="Arial" w:hAnsi="Arial" w:cs="Arial"/>
          <w:b/>
        </w:rPr>
        <w:lastRenderedPageBreak/>
        <w:t>Risk Appetite Statement</w:t>
      </w:r>
    </w:p>
    <w:p w:rsidR="00AB13D0" w:rsidRDefault="00AB13D0" w:rsidP="00F44901">
      <w:pPr>
        <w:rPr>
          <w:rFonts w:ascii="Arial" w:hAnsi="Arial" w:cs="Arial"/>
        </w:rPr>
      </w:pPr>
    </w:p>
    <w:p w:rsidR="00F44901" w:rsidRPr="00AB13D0" w:rsidRDefault="00F44901" w:rsidP="00F44901">
      <w:pPr>
        <w:rPr>
          <w:rFonts w:ascii="Arial" w:hAnsi="Arial" w:cs="Arial"/>
        </w:rPr>
      </w:pPr>
      <w:r w:rsidRPr="00AB13D0">
        <w:rPr>
          <w:rFonts w:ascii="Arial" w:hAnsi="Arial" w:cs="Arial"/>
        </w:rPr>
        <w:t xml:space="preserve">The Risk Appetite was set across the </w:t>
      </w:r>
      <w:r w:rsidR="00AB13D0">
        <w:rPr>
          <w:rFonts w:ascii="Arial" w:hAnsi="Arial" w:cs="Arial"/>
        </w:rPr>
        <w:t>four</w:t>
      </w:r>
      <w:r w:rsidRPr="00AB13D0">
        <w:rPr>
          <w:rFonts w:ascii="Arial" w:hAnsi="Arial" w:cs="Arial"/>
        </w:rPr>
        <w:t xml:space="preserve"> pillars of the Campus considering the clusters used across the Board in assessment of risk using </w:t>
      </w:r>
      <w:r w:rsidR="00AB13D0">
        <w:rPr>
          <w:rFonts w:ascii="Arial" w:hAnsi="Arial" w:cs="Arial"/>
        </w:rPr>
        <w:t>five</w:t>
      </w:r>
      <w:r w:rsidRPr="00AB13D0">
        <w:rPr>
          <w:rFonts w:ascii="Arial" w:hAnsi="Arial" w:cs="Arial"/>
        </w:rPr>
        <w:t xml:space="preserve"> point scale ranging from averse to willing:   </w:t>
      </w:r>
    </w:p>
    <w:p w:rsidR="00F44901" w:rsidRPr="00AB13D0" w:rsidRDefault="00F44901" w:rsidP="00F44901">
      <w:pPr>
        <w:rPr>
          <w:rFonts w:ascii="Arial" w:hAnsi="Arial" w:cs="Arial"/>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88"/>
        <w:gridCol w:w="1130"/>
        <w:gridCol w:w="1130"/>
        <w:gridCol w:w="1130"/>
        <w:gridCol w:w="1228"/>
      </w:tblGrid>
      <w:tr w:rsidR="00F44901" w:rsidRPr="0074652B" w:rsidTr="00F44901">
        <w:trPr>
          <w:trHeight w:val="547"/>
          <w:jc w:val="center"/>
        </w:trPr>
        <w:tc>
          <w:tcPr>
            <w:tcW w:w="2388" w:type="dxa"/>
            <w:vAlign w:val="center"/>
          </w:tcPr>
          <w:p w:rsidR="00F44901" w:rsidRPr="0074652B" w:rsidRDefault="00F44901" w:rsidP="00CC72F1">
            <w:pPr>
              <w:tabs>
                <w:tab w:val="center" w:pos="4320"/>
                <w:tab w:val="right" w:pos="8640"/>
              </w:tabs>
              <w:jc w:val="center"/>
              <w:rPr>
                <w:rFonts w:ascii="Arial" w:hAnsi="Arial" w:cs="Arial"/>
                <w:b/>
                <w:sz w:val="20"/>
                <w:szCs w:val="20"/>
              </w:rPr>
            </w:pPr>
            <w:r>
              <w:rPr>
                <w:rFonts w:ascii="Arial" w:hAnsi="Arial" w:cs="Arial"/>
                <w:b/>
                <w:noProof/>
                <w:sz w:val="20"/>
                <w:szCs w:val="20"/>
                <w:lang w:eastAsia="en-GB"/>
              </w:rPr>
              <w:drawing>
                <wp:inline distT="0" distB="0" distL="0" distR="0">
                  <wp:extent cx="781050" cy="63817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5815" t="41689" r="76152" b="32146"/>
                          <a:stretch>
                            <a:fillRect/>
                          </a:stretch>
                        </pic:blipFill>
                        <pic:spPr bwMode="auto">
                          <a:xfrm>
                            <a:off x="0" y="0"/>
                            <a:ext cx="781050" cy="638175"/>
                          </a:xfrm>
                          <a:prstGeom prst="rect">
                            <a:avLst/>
                          </a:prstGeom>
                          <a:noFill/>
                          <a:ln w="9525">
                            <a:noFill/>
                            <a:miter lim="800000"/>
                            <a:headEnd/>
                            <a:tailEnd/>
                          </a:ln>
                        </pic:spPr>
                      </pic:pic>
                    </a:graphicData>
                  </a:graphic>
                </wp:inline>
              </w:drawing>
            </w:r>
          </w:p>
        </w:tc>
        <w:tc>
          <w:tcPr>
            <w:tcW w:w="1130" w:type="dxa"/>
            <w:vAlign w:val="center"/>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Hospital</w:t>
            </w:r>
          </w:p>
        </w:tc>
        <w:tc>
          <w:tcPr>
            <w:tcW w:w="1130" w:type="dxa"/>
            <w:vAlign w:val="center"/>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Hotel</w:t>
            </w:r>
          </w:p>
        </w:tc>
        <w:tc>
          <w:tcPr>
            <w:tcW w:w="1130" w:type="dxa"/>
            <w:vAlign w:val="center"/>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R&amp;D</w:t>
            </w:r>
          </w:p>
        </w:tc>
        <w:tc>
          <w:tcPr>
            <w:tcW w:w="1228" w:type="dxa"/>
            <w:vAlign w:val="center"/>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Innovation</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 xml:space="preserve">Strategic </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228"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Safety/ Experience</w:t>
            </w:r>
          </w:p>
        </w:tc>
        <w:tc>
          <w:tcPr>
            <w:tcW w:w="1130" w:type="dxa"/>
            <w:shd w:val="clear" w:color="auto" w:fill="FFC0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 xml:space="preserve">Cautious </w:t>
            </w:r>
          </w:p>
        </w:tc>
        <w:tc>
          <w:tcPr>
            <w:tcW w:w="1130" w:type="dxa"/>
            <w:shd w:val="clear" w:color="auto" w:fill="FFC0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Cautious</w:t>
            </w:r>
          </w:p>
        </w:tc>
        <w:tc>
          <w:tcPr>
            <w:tcW w:w="1130" w:type="dxa"/>
            <w:shd w:val="clear" w:color="auto" w:fill="FFC0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Cautious</w:t>
            </w:r>
          </w:p>
        </w:tc>
        <w:tc>
          <w:tcPr>
            <w:tcW w:w="1228" w:type="dxa"/>
            <w:shd w:val="clear" w:color="auto" w:fill="FFC0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Cautious</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Reputation</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228"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Financial</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228"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Regulation</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130" w:type="dxa"/>
            <w:shd w:val="clear" w:color="auto" w:fill="FFC0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Cautious</w:t>
            </w:r>
          </w:p>
        </w:tc>
        <w:tc>
          <w:tcPr>
            <w:tcW w:w="1228"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Operational</w:t>
            </w:r>
          </w:p>
        </w:tc>
        <w:tc>
          <w:tcPr>
            <w:tcW w:w="1130" w:type="dxa"/>
            <w:shd w:val="clear" w:color="auto" w:fill="FFFF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Moderate</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228"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r>
      <w:tr w:rsidR="00F44901" w:rsidRPr="0074652B" w:rsidTr="00F44901">
        <w:trPr>
          <w:jc w:val="center"/>
        </w:trPr>
        <w:tc>
          <w:tcPr>
            <w:tcW w:w="2388" w:type="dxa"/>
          </w:tcPr>
          <w:p w:rsidR="00F44901" w:rsidRPr="0074652B" w:rsidRDefault="00F44901" w:rsidP="00CC72F1">
            <w:pPr>
              <w:tabs>
                <w:tab w:val="center" w:pos="4320"/>
                <w:tab w:val="right" w:pos="8640"/>
              </w:tabs>
              <w:rPr>
                <w:rFonts w:ascii="Arial" w:hAnsi="Arial" w:cs="Arial"/>
                <w:b/>
                <w:sz w:val="20"/>
                <w:szCs w:val="20"/>
              </w:rPr>
            </w:pPr>
            <w:r w:rsidRPr="0074652B">
              <w:rPr>
                <w:rFonts w:ascii="Arial" w:hAnsi="Arial" w:cs="Arial"/>
                <w:b/>
                <w:sz w:val="20"/>
                <w:szCs w:val="20"/>
              </w:rPr>
              <w:t>Workforce</w:t>
            </w:r>
          </w:p>
        </w:tc>
        <w:tc>
          <w:tcPr>
            <w:tcW w:w="1130" w:type="dxa"/>
            <w:shd w:val="clear" w:color="auto" w:fill="FFC00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 xml:space="preserve">Cautious </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130"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c>
          <w:tcPr>
            <w:tcW w:w="1228" w:type="dxa"/>
            <w:shd w:val="clear" w:color="auto" w:fill="00B050"/>
          </w:tcPr>
          <w:p w:rsidR="00F44901" w:rsidRPr="0074652B" w:rsidRDefault="00F44901" w:rsidP="00CC72F1">
            <w:pPr>
              <w:tabs>
                <w:tab w:val="center" w:pos="4320"/>
                <w:tab w:val="right" w:pos="8640"/>
              </w:tabs>
              <w:jc w:val="center"/>
              <w:rPr>
                <w:rFonts w:ascii="Arial" w:hAnsi="Arial" w:cs="Arial"/>
                <w:b/>
                <w:sz w:val="20"/>
                <w:szCs w:val="20"/>
              </w:rPr>
            </w:pPr>
            <w:r w:rsidRPr="0074652B">
              <w:rPr>
                <w:rFonts w:ascii="Arial" w:hAnsi="Arial" w:cs="Arial"/>
                <w:b/>
                <w:sz w:val="20"/>
                <w:szCs w:val="20"/>
              </w:rPr>
              <w:t>Open</w:t>
            </w:r>
          </w:p>
        </w:tc>
      </w:tr>
    </w:tbl>
    <w:p w:rsidR="00AB13D0" w:rsidRDefault="00AB13D0"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 xml:space="preserve">The Board vision is leading Quality, Research and Innovation for NHS Scotland and aims to deliver world-class healthcare services that will be recognised both nationally and internationally.  The acceptance of any risk is subject to ensuring the impact in benefits and risks of any decision are understood and managed through appropriate measures to mitigate risk and realise benefits.  The Board recognises that any appetite for risk will vary according to the issue and therefore different appetites and tolerances to risks will apply.  Delivery of clinical care is complex and challenging and in recognising this there is generally a more cautious approach to risk within the hospital setting.  </w:t>
      </w:r>
    </w:p>
    <w:p w:rsidR="00F44901" w:rsidRPr="00AB13D0" w:rsidRDefault="00F44901"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 xml:space="preserve">In delivering our vision safety is at the forefront of what we do with a strong commitment to continually learn and improve.  Risk is inherent in all that we do and we will continue to ensure this is robustly managed with a cautious approach to risk to patients, staff and guests.  </w:t>
      </w:r>
    </w:p>
    <w:p w:rsidR="00F44901" w:rsidRPr="00AB13D0" w:rsidRDefault="00F44901"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Existing governance structures and control frameworks supported with the embedding of the 'Values' across the Foundation provide the Board with confidence that it is open to taking risks in the development and execution of strategy across all pillars within the organisation</w:t>
      </w:r>
    </w:p>
    <w:p w:rsidR="00F44901" w:rsidRPr="00AB13D0" w:rsidRDefault="00F44901"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 xml:space="preserve">The Board are focussed on maintaining the strong reputation of the Foundation and enhancing the reputation in new areas within the UK and internationally.    </w:t>
      </w:r>
    </w:p>
    <w:p w:rsidR="00F44901" w:rsidRPr="00AB13D0" w:rsidRDefault="00F44901"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The Board is committed to driving innovation and as such is open to taking considered operational and strategic risks, particularly where, through innovation, positive gains can be anticipated whilst however always mindful of managing reputational risks.</w:t>
      </w:r>
    </w:p>
    <w:p w:rsidR="00F44901" w:rsidRPr="00AB13D0" w:rsidRDefault="00F44901"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 xml:space="preserve">There are strong financial controls in place across the Board with different challenges faced across the campus bring a cautious risk appetite within the hospital but working with a more moderate appetite across research, innovation and the hotel. This reflects the requirement for transformational change and we explore new ways of collaborative working recognising the associated benefits.  </w:t>
      </w:r>
    </w:p>
    <w:p w:rsidR="00F44901" w:rsidRPr="00AB13D0" w:rsidRDefault="00F44901" w:rsidP="00AB13D0">
      <w:pPr>
        <w:rPr>
          <w:rFonts w:ascii="Arial" w:hAnsi="Arial" w:cs="Arial"/>
        </w:rPr>
      </w:pPr>
      <w:r w:rsidRPr="00AB13D0">
        <w:rPr>
          <w:rFonts w:ascii="Arial" w:hAnsi="Arial" w:cs="Arial"/>
        </w:rPr>
        <w:t xml:space="preserve"> </w:t>
      </w:r>
    </w:p>
    <w:p w:rsidR="00F44901" w:rsidRPr="00AB13D0" w:rsidRDefault="00F44901" w:rsidP="00AB13D0">
      <w:pPr>
        <w:rPr>
          <w:rFonts w:ascii="Arial" w:hAnsi="Arial" w:cs="Arial"/>
        </w:rPr>
      </w:pPr>
      <w:r w:rsidRPr="00AB13D0">
        <w:rPr>
          <w:rFonts w:ascii="Arial" w:hAnsi="Arial" w:cs="Arial"/>
        </w:rPr>
        <w:lastRenderedPageBreak/>
        <w:t xml:space="preserve">There is a greater appetite for operational risk in developing innovative ways of delivering services.  There is caution to ensure a sound evidence base to support this and ensure safety is not compromised.  In responding to workforce challenges the Board is open to explore innovative workforce models, working in partnership to maximise the resources we have in delivery of services ensuring this does not compromise safety.  </w:t>
      </w:r>
    </w:p>
    <w:p w:rsidR="00F44901" w:rsidRPr="00AB13D0" w:rsidRDefault="00F44901" w:rsidP="00AB13D0">
      <w:pPr>
        <w:rPr>
          <w:rFonts w:ascii="Arial" w:hAnsi="Arial" w:cs="Arial"/>
        </w:rPr>
      </w:pPr>
    </w:p>
    <w:p w:rsidR="00F44901" w:rsidRPr="00AB13D0" w:rsidRDefault="00F44901" w:rsidP="00AB13D0">
      <w:pPr>
        <w:rPr>
          <w:rFonts w:ascii="Arial" w:hAnsi="Arial" w:cs="Arial"/>
        </w:rPr>
      </w:pPr>
      <w:r w:rsidRPr="00AB13D0">
        <w:rPr>
          <w:rFonts w:ascii="Arial" w:hAnsi="Arial" w:cs="Arial"/>
        </w:rPr>
        <w:t xml:space="preserve">The Board recognises the need to place high importance on regulation and compliance but also be open to challenge where supported by evidence in pursuit of quality.  The role of regulation in supporting safety within Research </w:t>
      </w:r>
      <w:r w:rsidR="00AB13D0">
        <w:rPr>
          <w:rFonts w:ascii="Arial" w:hAnsi="Arial" w:cs="Arial"/>
        </w:rPr>
        <w:t>and</w:t>
      </w:r>
      <w:r w:rsidRPr="00AB13D0">
        <w:rPr>
          <w:rFonts w:ascii="Arial" w:hAnsi="Arial" w:cs="Arial"/>
        </w:rPr>
        <w:t xml:space="preserve"> Development is recognised with a more cautious approach here.  </w:t>
      </w:r>
    </w:p>
    <w:sectPr w:rsidR="00F44901" w:rsidRPr="00AB13D0" w:rsidSect="00BA0FF2">
      <w:footerReference w:type="default" r:id="rId9"/>
      <w:pgSz w:w="11906" w:h="16838"/>
      <w:pgMar w:top="709" w:right="1133" w:bottom="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7B1" w:rsidRDefault="00BD57B1">
      <w:r>
        <w:separator/>
      </w:r>
    </w:p>
  </w:endnote>
  <w:endnote w:type="continuationSeparator" w:id="0">
    <w:p w:rsidR="00BD57B1" w:rsidRDefault="00BD57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one Sans">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Pr="00513DB0" w:rsidRDefault="00457235"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AB13D0">
      <w:rPr>
        <w:rStyle w:val="PageNumber"/>
        <w:rFonts w:ascii="Arial" w:hAnsi="Arial" w:cs="Arial"/>
        <w:noProof/>
      </w:rPr>
      <w:t>2</w:t>
    </w:r>
    <w:r w:rsidRPr="00513DB0">
      <w:rPr>
        <w:rStyle w:val="PageNumber"/>
        <w:rFonts w:ascii="Arial" w:hAnsi="Arial" w:cs="Arial"/>
      </w:rPr>
      <w:fldChar w:fldCharType="end"/>
    </w:r>
  </w:p>
  <w:p w:rsidR="00513DB0" w:rsidRDefault="00513DB0" w:rsidP="00513DB0">
    <w:pPr>
      <w:ind w:left="-540"/>
      <w:jc w:val="center"/>
      <w:rPr>
        <w:rFonts w:ascii="Arial" w:hAnsi="Arial" w:cs="Arial"/>
        <w:sz w:val="20"/>
        <w:szCs w:val="20"/>
      </w:rPr>
    </w:pPr>
    <w:r>
      <w:rPr>
        <w:rFonts w:ascii="Arial" w:hAnsi="Arial" w:cs="Arial"/>
        <w:sz w:val="20"/>
        <w:szCs w:val="20"/>
      </w:rPr>
      <w:t>___________________________________________________________________________</w:t>
    </w:r>
    <w:r w:rsidR="001A624A">
      <w:rPr>
        <w:rFonts w:ascii="Arial" w:hAnsi="Arial" w:cs="Arial"/>
        <w:sz w:val="20"/>
        <w:szCs w:val="20"/>
      </w:rPr>
      <w:t>__________</w:t>
    </w:r>
  </w:p>
  <w:p w:rsidR="00513DB0" w:rsidRDefault="00957CDC"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463DB0" w:rsidRPr="008F5DB5" w:rsidRDefault="00463DB0"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75AAA" w:rsidRPr="001A624A" w:rsidRDefault="00463DB0" w:rsidP="00463DB0">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w:t>
    </w:r>
    <w:r w:rsidR="00BA0FF2">
      <w:rPr>
        <w:rFonts w:ascii="Arial" w:hAnsi="Arial" w:cs="Arial"/>
        <w:sz w:val="18"/>
        <w:szCs w:val="18"/>
      </w:rPr>
      <w:t>0</w:t>
    </w:r>
    <w:r>
      <w:rPr>
        <w:rFonts w:ascii="Arial" w:hAnsi="Arial" w:cs="Arial"/>
        <w:sz w:val="18"/>
        <w:szCs w:val="18"/>
      </w:rPr>
      <w:t>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7B1" w:rsidRDefault="00BD57B1">
      <w:r>
        <w:separator/>
      </w:r>
    </w:p>
  </w:footnote>
  <w:footnote w:type="continuationSeparator" w:id="0">
    <w:p w:rsidR="00BD57B1" w:rsidRDefault="00BD5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5"/>
  </w:num>
  <w:num w:numId="2">
    <w:abstractNumId w:val="9"/>
  </w:num>
  <w:num w:numId="3">
    <w:abstractNumId w:val="3"/>
  </w:num>
  <w:num w:numId="4">
    <w:abstractNumId w:val="0"/>
  </w:num>
  <w:num w:numId="5">
    <w:abstractNumId w:val="2"/>
  </w:num>
  <w:num w:numId="6">
    <w:abstractNumId w:val="7"/>
  </w:num>
  <w:num w:numId="7">
    <w:abstractNumId w:val="10"/>
  </w:num>
  <w:num w:numId="8">
    <w:abstractNumId w:val="1"/>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10241"/>
  </w:hdrShapeDefaults>
  <w:footnotePr>
    <w:footnote w:id="-1"/>
    <w:footnote w:id="0"/>
  </w:footnotePr>
  <w:endnotePr>
    <w:endnote w:id="-1"/>
    <w:endnote w:id="0"/>
  </w:endnotePr>
  <w:compat/>
  <w:rsids>
    <w:rsidRoot w:val="00A2577B"/>
    <w:rsid w:val="00075AAA"/>
    <w:rsid w:val="000B5923"/>
    <w:rsid w:val="001175E5"/>
    <w:rsid w:val="00136AC8"/>
    <w:rsid w:val="0014213C"/>
    <w:rsid w:val="00162874"/>
    <w:rsid w:val="001849E6"/>
    <w:rsid w:val="001A624A"/>
    <w:rsid w:val="001B3FD3"/>
    <w:rsid w:val="001C05D2"/>
    <w:rsid w:val="00200176"/>
    <w:rsid w:val="00316DD7"/>
    <w:rsid w:val="00362A4C"/>
    <w:rsid w:val="003E423D"/>
    <w:rsid w:val="003F19CA"/>
    <w:rsid w:val="00427E3E"/>
    <w:rsid w:val="004512CE"/>
    <w:rsid w:val="00457235"/>
    <w:rsid w:val="00463DB0"/>
    <w:rsid w:val="00513DB0"/>
    <w:rsid w:val="00590B0A"/>
    <w:rsid w:val="00597913"/>
    <w:rsid w:val="005B5609"/>
    <w:rsid w:val="006A1357"/>
    <w:rsid w:val="006D232B"/>
    <w:rsid w:val="00745A4B"/>
    <w:rsid w:val="007608D7"/>
    <w:rsid w:val="007755D1"/>
    <w:rsid w:val="00815350"/>
    <w:rsid w:val="00867E1A"/>
    <w:rsid w:val="00882F92"/>
    <w:rsid w:val="008C09FA"/>
    <w:rsid w:val="008C26A2"/>
    <w:rsid w:val="008D3CB5"/>
    <w:rsid w:val="008F6CD0"/>
    <w:rsid w:val="00952AC2"/>
    <w:rsid w:val="00957CDC"/>
    <w:rsid w:val="009923C1"/>
    <w:rsid w:val="00992558"/>
    <w:rsid w:val="00993AEC"/>
    <w:rsid w:val="00A2577B"/>
    <w:rsid w:val="00AB13D0"/>
    <w:rsid w:val="00AF3432"/>
    <w:rsid w:val="00B535F6"/>
    <w:rsid w:val="00BA0FF2"/>
    <w:rsid w:val="00BD57B1"/>
    <w:rsid w:val="00C5092B"/>
    <w:rsid w:val="00C956E2"/>
    <w:rsid w:val="00CD065C"/>
    <w:rsid w:val="00D331AF"/>
    <w:rsid w:val="00D346C3"/>
    <w:rsid w:val="00D92AA6"/>
    <w:rsid w:val="00E95856"/>
    <w:rsid w:val="00EB7C07"/>
    <w:rsid w:val="00EC2E57"/>
    <w:rsid w:val="00F044F3"/>
    <w:rsid w:val="00F151E4"/>
    <w:rsid w:val="00F44901"/>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A1">
    <w:name w:val="A1"/>
    <w:rsid w:val="00EC2E57"/>
    <w:rPr>
      <w:color w:val="000000"/>
      <w:sz w:val="28"/>
      <w:szCs w:val="28"/>
    </w:rPr>
  </w:style>
  <w:style w:type="paragraph" w:customStyle="1" w:styleId="Pa2">
    <w:name w:val="Pa2"/>
    <w:basedOn w:val="Normal"/>
    <w:next w:val="Normal"/>
    <w:rsid w:val="00EC2E57"/>
    <w:pPr>
      <w:autoSpaceDE w:val="0"/>
      <w:autoSpaceDN w:val="0"/>
      <w:adjustRightInd w:val="0"/>
      <w:spacing w:after="220" w:line="241" w:lineRule="atLeast"/>
    </w:pPr>
    <w:rPr>
      <w:rFonts w:ascii="Stone Sans" w:hAnsi="Stone Sans"/>
      <w:lang w:val="en-US"/>
    </w:rPr>
  </w:style>
  <w:style w:type="paragraph" w:styleId="BalloonText">
    <w:name w:val="Balloon Text"/>
    <w:basedOn w:val="Normal"/>
    <w:link w:val="BalloonTextChar"/>
    <w:rsid w:val="00F44901"/>
    <w:rPr>
      <w:rFonts w:ascii="Tahoma" w:hAnsi="Tahoma" w:cs="Tahoma"/>
      <w:sz w:val="16"/>
      <w:szCs w:val="16"/>
    </w:rPr>
  </w:style>
  <w:style w:type="character" w:customStyle="1" w:styleId="BalloonTextChar">
    <w:name w:val="Balloon Text Char"/>
    <w:basedOn w:val="DefaultParagraphFont"/>
    <w:link w:val="BalloonText"/>
    <w:rsid w:val="00F44901"/>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762</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2018-03-20T11:26:00Z</dcterms:created>
  <dcterms:modified xsi:type="dcterms:W3CDTF">2018-03-22T14:43:00Z</dcterms:modified>
</cp:coreProperties>
</file>